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7A" w:rsidRDefault="001E277A" w:rsidP="001E277A">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E277A" w:rsidRDefault="001E277A" w:rsidP="001E277A">
      <w:pPr>
        <w:rPr>
          <w:rFonts w:ascii="Arial" w:hAnsi="Arial" w:cs="Arial"/>
          <w:color w:val="0000FF"/>
        </w:rPr>
      </w:pPr>
      <w:r>
        <w:rPr>
          <w:rFonts w:ascii="Arial" w:hAnsi="Arial" w:cs="Arial"/>
        </w:rPr>
        <w:t> </w:t>
      </w:r>
    </w:p>
    <w:p w:rsidR="001E277A" w:rsidRDefault="001E277A" w:rsidP="001E277A">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E277A" w:rsidRDefault="001E277A" w:rsidP="001E277A">
      <w:pPr>
        <w:rPr>
          <w:rFonts w:ascii="Arial" w:hAnsi="Arial" w:cs="Arial"/>
          <w:b/>
          <w:bCs/>
          <w:color w:val="0000FF"/>
          <w:sz w:val="26"/>
          <w:szCs w:val="26"/>
        </w:rPr>
      </w:pPr>
      <w:r>
        <w:rPr>
          <w:rFonts w:ascii="Arial" w:hAnsi="Arial" w:cs="Arial"/>
          <w:b/>
          <w:bCs/>
          <w:color w:val="0000FF"/>
          <w:sz w:val="26"/>
          <w:szCs w:val="26"/>
        </w:rPr>
        <w:t>(Issue #199 – 13 May 2013)</w:t>
      </w:r>
    </w:p>
    <w:p w:rsidR="001E277A" w:rsidRDefault="001E277A" w:rsidP="001E277A">
      <w:pPr>
        <w:rPr>
          <w:color w:val="0000FF"/>
        </w:rPr>
      </w:pP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 xml:space="preserve">1.   Total Water Cycle Management Planning Under the EPP Water </w:t>
      </w: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2.   Best of the Best Queensland Water Taste Test – NQ Regional Winner</w:t>
      </w: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 xml:space="preserve">3.   International Water Centre (IWC) Masters Scholarships </w:t>
      </w:r>
    </w:p>
    <w:p w:rsidR="001E277A" w:rsidRDefault="001E277A" w:rsidP="001E277A">
      <w:pPr>
        <w:pStyle w:val="Title"/>
        <w:ind w:right="170"/>
        <w:jc w:val="left"/>
        <w:rPr>
          <w:color w:val="000000"/>
          <w:lang w:val="en-US"/>
        </w:rPr>
      </w:pPr>
    </w:p>
    <w:p w:rsidR="001E277A" w:rsidRDefault="001E277A" w:rsidP="001E277A">
      <w:pPr>
        <w:rPr>
          <w:rFonts w:ascii="Times New Roman" w:hAnsi="Times New Roman"/>
          <w:color w:val="000000"/>
          <w:sz w:val="24"/>
          <w:szCs w:val="24"/>
        </w:rPr>
      </w:pPr>
      <w:r>
        <w:rPr>
          <w:rFonts w:ascii="Brush Script MT" w:hAnsi="Brush Script MT"/>
          <w:b/>
          <w:bCs/>
          <w:color w:val="800000"/>
        </w:rPr>
        <w:t>~~~~~~~~~~~~~~~~~~~~~~~~~~~~~~~~~~~~~~~~~~~~~~~~~~~~~~~~~~~~</w:t>
      </w: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 xml:space="preserve">1.   Total Water Cycle Management Planning Under the EPP Water </w:t>
      </w:r>
    </w:p>
    <w:p w:rsidR="001E277A" w:rsidRDefault="001E277A" w:rsidP="001E277A">
      <w:pPr>
        <w:pStyle w:val="PlainText"/>
      </w:pPr>
      <w:r>
        <w:rPr>
          <w:rFonts w:ascii="Brush Script MT" w:hAnsi="Brush Script MT"/>
          <w:b/>
          <w:bCs/>
          <w:color w:val="800000"/>
        </w:rPr>
        <w:t>~~~~~~~~~~~~~~~~~~~~~~~~~~~~~~~~~~~~~~~~~~~~~~~~~~~~~~~~~~~~</w:t>
      </w:r>
    </w:p>
    <w:p w:rsidR="001E277A" w:rsidRDefault="001E277A" w:rsidP="001E277A">
      <w:pPr>
        <w:rPr>
          <w:rFonts w:asciiTheme="minorHAnsi" w:hAnsiTheme="minorHAnsi" w:cs="Arial"/>
          <w:b/>
        </w:rPr>
      </w:pPr>
      <w:r>
        <w:rPr>
          <w:rFonts w:asciiTheme="minorHAnsi" w:hAnsiTheme="minorHAnsi" w:cs="Arial"/>
          <w:b/>
        </w:rPr>
        <w:t xml:space="preserve">Total Water Cycle Management planning under the </w:t>
      </w:r>
      <w:r>
        <w:rPr>
          <w:rFonts w:asciiTheme="minorHAnsi" w:hAnsiTheme="minorHAnsi" w:cs="Arial"/>
          <w:b/>
          <w:i/>
        </w:rPr>
        <w:t xml:space="preserve">Environmental Protection (Water) Policy 2009 </w:t>
      </w:r>
      <w:r>
        <w:rPr>
          <w:rFonts w:asciiTheme="minorHAnsi" w:hAnsiTheme="minorHAnsi" w:cs="Arial"/>
          <w:b/>
        </w:rPr>
        <w:t>(EPP Water)</w:t>
      </w:r>
    </w:p>
    <w:p w:rsidR="001E277A" w:rsidRDefault="001E277A" w:rsidP="001E277A">
      <w:pPr>
        <w:rPr>
          <w:rFonts w:asciiTheme="minorHAnsi" w:hAnsiTheme="minorHAnsi" w:cs="Arial"/>
        </w:rPr>
      </w:pPr>
    </w:p>
    <w:p w:rsidR="001E277A" w:rsidRDefault="001E277A" w:rsidP="001E277A">
      <w:pPr>
        <w:rPr>
          <w:rFonts w:asciiTheme="minorHAnsi" w:hAnsiTheme="minorHAnsi" w:cs="Arial"/>
        </w:rPr>
      </w:pPr>
      <w:r>
        <w:rPr>
          <w:rFonts w:asciiTheme="minorHAnsi" w:hAnsiTheme="minorHAnsi" w:cs="Arial"/>
        </w:rPr>
        <w:t>The Department of Environment and Heritage Protection (EHP) is proposing to remove the requirement for Local Government Total Water Cycle Management (TWCM) plan preparation under the EPP Water.</w:t>
      </w:r>
    </w:p>
    <w:p w:rsidR="001E277A" w:rsidRDefault="001E277A" w:rsidP="001E277A">
      <w:pPr>
        <w:rPr>
          <w:rFonts w:asciiTheme="minorHAnsi" w:hAnsiTheme="minorHAnsi" w:cs="Arial"/>
        </w:rPr>
      </w:pPr>
    </w:p>
    <w:p w:rsidR="001E277A" w:rsidRDefault="001E277A" w:rsidP="001E277A">
      <w:pPr>
        <w:rPr>
          <w:rFonts w:asciiTheme="minorHAnsi" w:hAnsiTheme="minorHAnsi" w:cs="Arial"/>
        </w:rPr>
      </w:pPr>
      <w:r>
        <w:rPr>
          <w:rFonts w:asciiTheme="minorHAnsi" w:hAnsiTheme="minorHAnsi" w:cs="Arial"/>
          <w:szCs w:val="32"/>
        </w:rPr>
        <w:t>EHP</w:t>
      </w:r>
      <w:r>
        <w:rPr>
          <w:rFonts w:asciiTheme="minorHAnsi" w:hAnsiTheme="minorHAnsi" w:cs="Arial"/>
        </w:rPr>
        <w:t xml:space="preserve"> is working with the Department of Energy and Water Supply in its consideration of a possible outcomes based regulatory framework, in lieu of the requirement for:</w:t>
      </w:r>
    </w:p>
    <w:p w:rsidR="001E277A" w:rsidRDefault="001E277A" w:rsidP="001E277A">
      <w:pPr>
        <w:numPr>
          <w:ilvl w:val="0"/>
          <w:numId w:val="1"/>
        </w:numPr>
        <w:overflowPunct w:val="0"/>
        <w:autoSpaceDE w:val="0"/>
        <w:autoSpaceDN w:val="0"/>
        <w:adjustRightInd w:val="0"/>
        <w:rPr>
          <w:rFonts w:asciiTheme="minorHAnsi" w:hAnsiTheme="minorHAnsi" w:cs="Arial"/>
        </w:rPr>
      </w:pPr>
      <w:r>
        <w:rPr>
          <w:rFonts w:asciiTheme="minorHAnsi" w:hAnsiTheme="minorHAnsi" w:cs="Arial"/>
        </w:rPr>
        <w:t xml:space="preserve">a number of water service provider management plans under the </w:t>
      </w:r>
      <w:r>
        <w:rPr>
          <w:rFonts w:asciiTheme="minorHAnsi" w:hAnsiTheme="minorHAnsi" w:cs="Arial"/>
          <w:i/>
        </w:rPr>
        <w:t xml:space="preserve">Water Supply (Safety and Reliability) Act 2008 </w:t>
      </w:r>
      <w:r>
        <w:rPr>
          <w:rFonts w:asciiTheme="minorHAnsi" w:hAnsiTheme="minorHAnsi" w:cs="Arial"/>
        </w:rPr>
        <w:t>(Water Supply Act)</w:t>
      </w:r>
      <w:r>
        <w:rPr>
          <w:rFonts w:asciiTheme="minorHAnsi" w:hAnsiTheme="minorHAnsi" w:cs="Arial"/>
          <w:i/>
        </w:rPr>
        <w:t>;</w:t>
      </w:r>
      <w:r>
        <w:rPr>
          <w:rFonts w:asciiTheme="minorHAnsi" w:hAnsiTheme="minorHAnsi" w:cs="Arial"/>
        </w:rPr>
        <w:t xml:space="preserve"> and </w:t>
      </w:r>
    </w:p>
    <w:p w:rsidR="001E277A" w:rsidRDefault="001E277A" w:rsidP="001E277A">
      <w:pPr>
        <w:numPr>
          <w:ilvl w:val="0"/>
          <w:numId w:val="1"/>
        </w:numPr>
        <w:overflowPunct w:val="0"/>
        <w:autoSpaceDE w:val="0"/>
        <w:autoSpaceDN w:val="0"/>
        <w:adjustRightInd w:val="0"/>
        <w:rPr>
          <w:rFonts w:asciiTheme="minorHAnsi" w:hAnsiTheme="minorHAnsi" w:cs="Arial"/>
        </w:rPr>
      </w:pPr>
      <w:r>
        <w:rPr>
          <w:rFonts w:asciiTheme="minorHAnsi" w:hAnsiTheme="minorHAnsi" w:cs="Arial"/>
        </w:rPr>
        <w:t>Local Government TWCM plans under the EPP Water.</w:t>
      </w:r>
    </w:p>
    <w:p w:rsidR="001E277A" w:rsidRDefault="001E277A" w:rsidP="001E277A">
      <w:pPr>
        <w:rPr>
          <w:rFonts w:asciiTheme="minorHAnsi" w:hAnsiTheme="minorHAnsi" w:cs="Arial"/>
        </w:rPr>
      </w:pPr>
    </w:p>
    <w:p w:rsidR="001E277A" w:rsidRDefault="001E277A" w:rsidP="001E277A">
      <w:pPr>
        <w:rPr>
          <w:rFonts w:asciiTheme="minorHAnsi" w:hAnsiTheme="minorHAnsi" w:cs="Arial"/>
        </w:rPr>
      </w:pPr>
      <w:r>
        <w:rPr>
          <w:rFonts w:asciiTheme="minorHAnsi" w:hAnsiTheme="minorHAnsi" w:cs="Arial"/>
        </w:rPr>
        <w:t xml:space="preserve">The proposed performance based planning approach for Queensland’s water sector is seeking to advance more flexible and simpler institutional arrangements and regulatory frameworks—involving annual reporting against key performance indicators and public comparative reporting. </w:t>
      </w:r>
    </w:p>
    <w:p w:rsidR="001E277A" w:rsidRDefault="001E277A" w:rsidP="001E277A">
      <w:pPr>
        <w:rPr>
          <w:rFonts w:asciiTheme="minorHAnsi" w:hAnsiTheme="minorHAnsi" w:cs="Arial"/>
          <w:szCs w:val="32"/>
        </w:rPr>
      </w:pPr>
    </w:p>
    <w:p w:rsidR="001E277A" w:rsidRDefault="001E277A" w:rsidP="001E277A">
      <w:pPr>
        <w:rPr>
          <w:rFonts w:asciiTheme="minorHAnsi" w:hAnsiTheme="minorHAnsi" w:cs="Arial"/>
        </w:rPr>
      </w:pPr>
      <w:r>
        <w:rPr>
          <w:rFonts w:asciiTheme="minorHAnsi" w:hAnsiTheme="minorHAnsi" w:cs="Arial"/>
        </w:rPr>
        <w:t xml:space="preserve">TWCM </w:t>
      </w:r>
      <w:r>
        <w:rPr>
          <w:rFonts w:asciiTheme="minorHAnsi" w:hAnsiTheme="minorHAnsi" w:cs="Arial"/>
          <w:lang w:val="en-US"/>
        </w:rPr>
        <w:t xml:space="preserve">principles </w:t>
      </w:r>
      <w:r>
        <w:rPr>
          <w:rFonts w:asciiTheme="minorHAnsi" w:hAnsiTheme="minorHAnsi" w:cs="Arial"/>
        </w:rPr>
        <w:t xml:space="preserve">(recognising the role of catchments, urban and rural run-off and sewage treatment in the overall health of water supplies and our waterways) will be incorporated into the performance reporting regulatory framework. Local Governments that have embraced a TWCM approach (such as cost-effective catchment-based or decentralised solutions) will have the opportunity to report their achievements. </w:t>
      </w:r>
    </w:p>
    <w:p w:rsidR="001E277A" w:rsidRDefault="001E277A" w:rsidP="001E277A">
      <w:pPr>
        <w:rPr>
          <w:rFonts w:asciiTheme="minorHAnsi" w:hAnsiTheme="minorHAnsi" w:cs="Arial"/>
          <w:lang w:eastAsia="en-US"/>
        </w:rPr>
      </w:pPr>
    </w:p>
    <w:p w:rsidR="001E277A" w:rsidRDefault="001E277A" w:rsidP="001E277A">
      <w:pPr>
        <w:rPr>
          <w:rFonts w:asciiTheme="minorHAnsi" w:hAnsiTheme="minorHAnsi" w:cs="Arial"/>
          <w:color w:val="000000"/>
        </w:rPr>
      </w:pPr>
      <w:r>
        <w:rPr>
          <w:rFonts w:asciiTheme="minorHAnsi" w:hAnsiTheme="minorHAnsi" w:cs="Arial"/>
        </w:rPr>
        <w:t>Subject to consultation and approval, the proposed outcomes based regulatory framework under the Water Supply Act</w:t>
      </w:r>
      <w:r>
        <w:rPr>
          <w:rFonts w:asciiTheme="minorHAnsi" w:hAnsiTheme="minorHAnsi" w:cs="Arial"/>
          <w:i/>
        </w:rPr>
        <w:t xml:space="preserve"> </w:t>
      </w:r>
      <w:r>
        <w:rPr>
          <w:rFonts w:asciiTheme="minorHAnsi" w:hAnsiTheme="minorHAnsi" w:cs="Arial"/>
        </w:rPr>
        <w:t xml:space="preserve">is scheduled for implementation in July 2014. </w:t>
      </w:r>
      <w:r>
        <w:rPr>
          <w:rFonts w:asciiTheme="minorHAnsi" w:hAnsiTheme="minorHAnsi" w:cs="Arial"/>
          <w:szCs w:val="24"/>
        </w:rPr>
        <w:t>As a consequence the statutory timelines under the EPP Water for TWCM plan completion will be extended to avoid any non-compliance</w:t>
      </w:r>
      <w:r>
        <w:rPr>
          <w:rFonts w:asciiTheme="minorHAnsi" w:hAnsiTheme="minorHAnsi" w:cs="Arial"/>
        </w:rPr>
        <w:t xml:space="preserve"> </w:t>
      </w:r>
      <w:r>
        <w:rPr>
          <w:rFonts w:asciiTheme="minorHAnsi" w:hAnsiTheme="minorHAnsi" w:cs="Arial"/>
          <w:szCs w:val="24"/>
        </w:rPr>
        <w:t xml:space="preserve">while the performance based planning approach is being resolved. </w:t>
      </w:r>
    </w:p>
    <w:p w:rsidR="001E277A" w:rsidRDefault="001E277A" w:rsidP="001E277A">
      <w:pPr>
        <w:rPr>
          <w:rFonts w:asciiTheme="minorHAnsi" w:hAnsiTheme="minorHAnsi" w:cs="Arial"/>
          <w:color w:val="000000"/>
        </w:rPr>
      </w:pPr>
    </w:p>
    <w:p w:rsidR="001E277A" w:rsidRDefault="001E277A" w:rsidP="001E277A">
      <w:pPr>
        <w:rPr>
          <w:rFonts w:asciiTheme="minorHAnsi" w:hAnsiTheme="minorHAnsi" w:cs="Arial"/>
        </w:rPr>
      </w:pPr>
      <w:r>
        <w:rPr>
          <w:rFonts w:asciiTheme="minorHAnsi" w:hAnsiTheme="minorHAnsi" w:cs="Arial"/>
        </w:rPr>
        <w:t xml:space="preserve">For further information please contact Jim Fewings of the Department of Environment and Heritage Protection—phone 3330 5655 / email </w:t>
      </w:r>
      <w:hyperlink r:id="rId5" w:history="1">
        <w:r>
          <w:rPr>
            <w:rStyle w:val="Hyperlink"/>
            <w:rFonts w:asciiTheme="minorHAnsi" w:hAnsiTheme="minorHAnsi" w:cs="Arial"/>
          </w:rPr>
          <w:t>James.Fewings@ehp.qld.gov.au</w:t>
        </w:r>
      </w:hyperlink>
      <w:r>
        <w:rPr>
          <w:rFonts w:asciiTheme="minorHAnsi" w:hAnsiTheme="minorHAnsi" w:cs="Arial"/>
        </w:rPr>
        <w:t>.</w:t>
      </w:r>
    </w:p>
    <w:p w:rsidR="001E277A" w:rsidRDefault="001E277A" w:rsidP="001E277A">
      <w:pPr>
        <w:pStyle w:val="Title"/>
        <w:ind w:right="170"/>
        <w:jc w:val="left"/>
        <w:rPr>
          <w:color w:val="000000"/>
          <w:lang w:val="en-US"/>
        </w:rPr>
      </w:pPr>
    </w:p>
    <w:p w:rsidR="001E277A" w:rsidRDefault="001E277A" w:rsidP="001E277A">
      <w:pPr>
        <w:rPr>
          <w:rFonts w:ascii="Times New Roman" w:hAnsi="Times New Roman"/>
          <w:color w:val="000000"/>
          <w:sz w:val="24"/>
          <w:szCs w:val="24"/>
        </w:rPr>
      </w:pPr>
      <w:r>
        <w:rPr>
          <w:rFonts w:ascii="Brush Script MT" w:hAnsi="Brush Script MT"/>
          <w:b/>
          <w:bCs/>
          <w:color w:val="800000"/>
        </w:rPr>
        <w:t>~~~~~~~~~~~~~~~~~~~~~~~~~~~~~~~~~~~~~~~~~~~~~~~~~~~~~~~~~~~~</w:t>
      </w: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2.  Best of the Best Queensland Water Taste Test – NQ Regional Winner</w:t>
      </w:r>
    </w:p>
    <w:p w:rsidR="001E277A" w:rsidRDefault="001E277A" w:rsidP="001E277A">
      <w:pPr>
        <w:pStyle w:val="PlainText"/>
      </w:pPr>
      <w:r>
        <w:rPr>
          <w:rFonts w:ascii="Brush Script MT" w:hAnsi="Brush Script MT"/>
          <w:b/>
          <w:bCs/>
          <w:color w:val="800000"/>
        </w:rPr>
        <w:t>~~~~~~~~~~~~~~~~~~~~~~~~~~~~~~~~~~~~~~~~~~~~~~~~~~~~~~~~~~~~</w:t>
      </w:r>
    </w:p>
    <w:p w:rsidR="001E277A" w:rsidRDefault="001E277A" w:rsidP="001E277A">
      <w:pPr>
        <w:pStyle w:val="BodyTextIndent"/>
        <w:spacing w:after="240"/>
        <w:ind w:left="0"/>
      </w:pPr>
      <w:r>
        <w:t xml:space="preserve">Whitsunday Regional Council’s Mt Julian (Cannonvale) Water Treatment Plant has taken out the North Queensland Regional Final of the Best of the Best Queensland Water Taste Test.   The competition was judged by conference attendees at the North Queensland Regional Final which took place in Townsville on 3 May 2013.  </w:t>
      </w:r>
    </w:p>
    <w:p w:rsidR="001E277A" w:rsidRDefault="001E277A" w:rsidP="001E277A">
      <w:pPr>
        <w:pStyle w:val="BodyTextIndent"/>
        <w:ind w:left="0"/>
      </w:pPr>
      <w:r>
        <w:lastRenderedPageBreak/>
        <w:t xml:space="preserve">Whitsunday Regional Council’s James Stewart was said this was a great result for the team and a well deserved reflection of the efforts of management and staff.  </w:t>
      </w:r>
    </w:p>
    <w:p w:rsidR="001E277A" w:rsidRDefault="001E277A" w:rsidP="001E277A">
      <w:pPr>
        <w:pStyle w:val="BodyTextIndent"/>
        <w:spacing w:after="240"/>
        <w:ind w:left="0"/>
        <w:jc w:val="both"/>
      </w:pPr>
      <w:r>
        <w:t xml:space="preserve">Mt Julian gets its water from bore fields on the Proserpine River aquifer, from where it goes through a process of aeration, chlorination, coagulation, flocculation, dual media filtration, final stabilisation and disinfection and then pumped out to the Cannonvale and Airlie Beach Scheme. </w:t>
      </w:r>
    </w:p>
    <w:p w:rsidR="001E277A" w:rsidRDefault="001E277A" w:rsidP="001E277A">
      <w:pPr>
        <w:pStyle w:val="BodyTextIndent"/>
        <w:spacing w:after="240"/>
        <w:ind w:left="0"/>
      </w:pPr>
      <w:r>
        <w:t>The taste test is a light-hearted way to promote the hard work of local authorities in delivering quality water services to Queensland communities.  The six regional finalists will contest the grand final prize to be held at the Local Government Association Queensland’s National Conference in Cairns later this year.</w:t>
      </w:r>
    </w:p>
    <w:p w:rsidR="001E277A" w:rsidRDefault="001E277A" w:rsidP="001E277A">
      <w:pPr>
        <w:pStyle w:val="Title"/>
        <w:spacing w:after="240"/>
        <w:ind w:right="170"/>
        <w:jc w:val="left"/>
        <w:rPr>
          <w:rFonts w:ascii="Calibri" w:hAnsi="Calibri"/>
          <w:b w:val="0"/>
          <w:bCs w:val="0"/>
          <w:color w:val="000000"/>
          <w:sz w:val="22"/>
          <w:szCs w:val="22"/>
        </w:rPr>
      </w:pPr>
      <w:r>
        <w:rPr>
          <w:rFonts w:ascii="Calibri" w:hAnsi="Calibri"/>
          <w:b w:val="0"/>
          <w:bCs w:val="0"/>
          <w:color w:val="000000"/>
          <w:sz w:val="22"/>
          <w:szCs w:val="22"/>
        </w:rPr>
        <w:t xml:space="preserve">Other upcoming regional conferences and taste test finals will be held in Cooktown on 15 May, Longreach on 27 June and Rockhampton on 1 August.  </w:t>
      </w:r>
    </w:p>
    <w:p w:rsidR="001E277A" w:rsidRDefault="001E277A" w:rsidP="001E277A">
      <w:pPr>
        <w:rPr>
          <w:rFonts w:ascii="Times New Roman" w:hAnsi="Times New Roman"/>
          <w:color w:val="000000"/>
          <w:sz w:val="24"/>
          <w:szCs w:val="24"/>
        </w:rPr>
      </w:pPr>
      <w:r>
        <w:rPr>
          <w:rFonts w:ascii="Brush Script MT" w:hAnsi="Brush Script MT"/>
          <w:b/>
          <w:bCs/>
          <w:color w:val="800000"/>
        </w:rPr>
        <w:t>~~~~~~~~~~~~~~~~~~~~~~~~~~~~~~~~~~~~~~~~~~~~~~~~~~~~~~~~~~~~</w:t>
      </w:r>
    </w:p>
    <w:p w:rsidR="001E277A" w:rsidRDefault="001E277A" w:rsidP="001E277A">
      <w:pPr>
        <w:rPr>
          <w:rFonts w:ascii="Arial Narrow" w:hAnsi="Arial Narrow"/>
          <w:b/>
          <w:bCs/>
          <w:color w:val="0000FF"/>
          <w:sz w:val="28"/>
          <w:szCs w:val="28"/>
        </w:rPr>
      </w:pPr>
      <w:r>
        <w:rPr>
          <w:rFonts w:ascii="Arial Narrow" w:hAnsi="Arial Narrow"/>
          <w:b/>
          <w:bCs/>
          <w:color w:val="0000FF"/>
          <w:sz w:val="28"/>
          <w:szCs w:val="28"/>
        </w:rPr>
        <w:t>3.  </w:t>
      </w:r>
      <w:r>
        <w:rPr>
          <w:rFonts w:ascii="Arial Narrow" w:hAnsi="Arial Narrow"/>
          <w:b/>
          <w:bCs/>
          <w:color w:val="0E223A"/>
          <w:sz w:val="28"/>
          <w:szCs w:val="28"/>
        </w:rPr>
        <w:t xml:space="preserve"> </w:t>
      </w:r>
      <w:r>
        <w:rPr>
          <w:rFonts w:ascii="Arial Narrow" w:hAnsi="Arial Narrow"/>
          <w:b/>
          <w:bCs/>
          <w:color w:val="0000FF"/>
          <w:sz w:val="28"/>
          <w:szCs w:val="28"/>
        </w:rPr>
        <w:t>International Water Centre (IWC) Masters Scholarships</w:t>
      </w:r>
    </w:p>
    <w:p w:rsidR="001E277A" w:rsidRDefault="001E277A" w:rsidP="001E277A">
      <w:pPr>
        <w:pStyle w:val="PlainText"/>
      </w:pPr>
      <w:r>
        <w:rPr>
          <w:rFonts w:ascii="Brush Script MT" w:hAnsi="Brush Script MT"/>
          <w:b/>
          <w:bCs/>
          <w:color w:val="800000"/>
        </w:rPr>
        <w:t>~~~~~~~~~~~~~~~~~~~~~~~~~~~~~~~~~~~~~~~~~~~~~~~~~~~~~~~~~~~~</w:t>
      </w:r>
    </w:p>
    <w:p w:rsidR="001E277A" w:rsidRDefault="001E277A" w:rsidP="001E277A">
      <w:pPr>
        <w:rPr>
          <w:color w:val="0E223A"/>
        </w:rPr>
      </w:pPr>
      <w:r>
        <w:rPr>
          <w:color w:val="0E223A"/>
        </w:rPr>
        <w:t xml:space="preserve">The International Water Centre (IWC) is offering </w:t>
      </w:r>
      <w:hyperlink r:id="rId6" w:tgtFrame="_blank" w:history="1">
        <w:r>
          <w:rPr>
            <w:rStyle w:val="Hyperlink"/>
            <w:b/>
            <w:bCs/>
            <w:color w:val="436976"/>
          </w:rPr>
          <w:t>full-tuition scholarships</w:t>
        </w:r>
      </w:hyperlink>
      <w:r>
        <w:rPr>
          <w:color w:val="1F1A17"/>
        </w:rPr>
        <w:t xml:space="preserve"> to a small number of excellent candidates who are accepted in the </w:t>
      </w:r>
      <w:hyperlink r:id="rId7" w:tgtFrame="_blank" w:history="1">
        <w:r>
          <w:rPr>
            <w:rStyle w:val="Hyperlink"/>
            <w:b/>
            <w:bCs/>
            <w:color w:val="436976"/>
          </w:rPr>
          <w:t>Master of Integrated Water Management (MIWM)</w:t>
        </w:r>
      </w:hyperlink>
      <w:r>
        <w:rPr>
          <w:color w:val="1F1A17"/>
        </w:rPr>
        <w:t xml:space="preserve"> and clearly demonstrate potential to become future water leaders. Applications are currently open to international and domestic students.</w:t>
      </w:r>
    </w:p>
    <w:p w:rsidR="001E277A" w:rsidRDefault="001E277A" w:rsidP="001E277A">
      <w:pPr>
        <w:numPr>
          <w:ilvl w:val="0"/>
          <w:numId w:val="2"/>
        </w:numPr>
        <w:spacing w:before="100" w:beforeAutospacing="1" w:after="100" w:afterAutospacing="1"/>
        <w:rPr>
          <w:rFonts w:eastAsia="Times New Roman"/>
          <w:color w:val="1F1A17"/>
        </w:rPr>
      </w:pPr>
      <w:r>
        <w:rPr>
          <w:rFonts w:eastAsia="Times New Roman"/>
          <w:color w:val="1F1A17"/>
        </w:rPr>
        <w:t>Value: full-tuition (AU$46,200) + health cover for international students</w:t>
      </w:r>
    </w:p>
    <w:p w:rsidR="001E277A" w:rsidRDefault="001E277A" w:rsidP="001E277A">
      <w:pPr>
        <w:numPr>
          <w:ilvl w:val="0"/>
          <w:numId w:val="2"/>
        </w:numPr>
        <w:spacing w:before="100" w:beforeAutospacing="1" w:after="100" w:afterAutospacing="1"/>
        <w:rPr>
          <w:rFonts w:eastAsia="Times New Roman"/>
          <w:color w:val="1F1A17"/>
        </w:rPr>
      </w:pPr>
      <w:r>
        <w:rPr>
          <w:rFonts w:eastAsia="Times New Roman"/>
          <w:color w:val="1F1A17"/>
        </w:rPr>
        <w:t xml:space="preserve">Applications close </w:t>
      </w:r>
      <w:r>
        <w:rPr>
          <w:rStyle w:val="Strong"/>
          <w:rFonts w:eastAsia="Times New Roman"/>
          <w:color w:val="1F1A17"/>
        </w:rPr>
        <w:t>1 August</w:t>
      </w:r>
      <w:r>
        <w:rPr>
          <w:rFonts w:eastAsia="Times New Roman"/>
          <w:color w:val="1F1A17"/>
        </w:rPr>
        <w:t xml:space="preserve"> (for international students) or </w:t>
      </w:r>
      <w:r>
        <w:rPr>
          <w:rStyle w:val="Strong"/>
          <w:rFonts w:eastAsia="Times New Roman"/>
          <w:color w:val="1F1A17"/>
        </w:rPr>
        <w:t xml:space="preserve">1 October </w:t>
      </w:r>
      <w:r>
        <w:rPr>
          <w:rFonts w:eastAsia="Times New Roman"/>
          <w:color w:val="1F1A17"/>
        </w:rPr>
        <w:t>(for domestic students)</w:t>
      </w:r>
    </w:p>
    <w:p w:rsidR="001E277A" w:rsidRDefault="001E277A" w:rsidP="001E277A">
      <w:pPr>
        <w:numPr>
          <w:ilvl w:val="0"/>
          <w:numId w:val="2"/>
        </w:numPr>
        <w:spacing w:before="100" w:beforeAutospacing="1" w:after="100" w:afterAutospacing="1"/>
        <w:rPr>
          <w:rFonts w:eastAsia="Times New Roman"/>
          <w:color w:val="1F1A17"/>
        </w:rPr>
      </w:pPr>
      <w:r>
        <w:rPr>
          <w:rFonts w:eastAsia="Times New Roman"/>
          <w:color w:val="1F1A17"/>
        </w:rPr>
        <w:t>Program commences in February 2014 (Australia)</w:t>
      </w:r>
    </w:p>
    <w:p w:rsidR="001E277A" w:rsidRDefault="00D823E6" w:rsidP="001E277A">
      <w:pPr>
        <w:spacing w:before="100" w:beforeAutospacing="1" w:after="100" w:afterAutospacing="1"/>
        <w:rPr>
          <w:color w:val="1F1A17"/>
        </w:rPr>
      </w:pPr>
      <w:hyperlink r:id="rId8" w:tgtFrame="_blank" w:tooltip="www.watercentre.org/education/programs/scholarships/iwc-scholarships" w:history="1">
        <w:r w:rsidR="001E277A">
          <w:rPr>
            <w:rStyle w:val="Hyperlink"/>
            <w:b/>
            <w:bCs/>
            <w:color w:val="436976"/>
          </w:rPr>
          <w:t>&gt; Apply online for a Masters Scholarship</w:t>
        </w:r>
      </w:hyperlink>
    </w:p>
    <w:p w:rsidR="001E277A" w:rsidRDefault="001E277A" w:rsidP="001E277A">
      <w:pPr>
        <w:rPr>
          <w:color w:val="0E223A"/>
        </w:rPr>
      </w:pPr>
    </w:p>
    <w:p w:rsidR="001E277A" w:rsidRDefault="001E277A" w:rsidP="001E277A">
      <w:pPr>
        <w:rPr>
          <w:rFonts w:ascii="Times New Roman" w:hAnsi="Times New Roman"/>
          <w:sz w:val="24"/>
          <w:szCs w:val="24"/>
        </w:rPr>
      </w:pPr>
      <w:r>
        <w:rPr>
          <w:rFonts w:ascii="Brush Script MT" w:hAnsi="Brush Script MT"/>
          <w:b/>
          <w:bCs/>
          <w:color w:val="800000"/>
        </w:rPr>
        <w:t>~~~~~~~~~~~~~~~~~~~~~~~~~~~~~~~~~~~~~~~~~~~~~~~~~~~~~~~~~~~~</w:t>
      </w:r>
    </w:p>
    <w:p w:rsidR="001E277A" w:rsidRDefault="001E277A" w:rsidP="001E277A">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E277A" w:rsidRDefault="001E277A" w:rsidP="001E277A">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1E277A" w:rsidRDefault="001E277A" w:rsidP="001E277A">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E277A" w:rsidRDefault="001E277A" w:rsidP="001E277A">
      <w:pPr>
        <w:rPr>
          <w:rFonts w:ascii="Arial Narrow" w:hAnsi="Arial Narrow"/>
          <w:sz w:val="18"/>
          <w:szCs w:val="18"/>
        </w:rPr>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E277A" w:rsidRDefault="001E277A" w:rsidP="001E277A">
      <w:pPr>
        <w:rPr>
          <w:rFonts w:ascii="Times New Roman" w:hAnsi="Times New Roman"/>
          <w:sz w:val="24"/>
          <w:szCs w:val="24"/>
        </w:rPr>
      </w:pPr>
      <w:r>
        <w:rPr>
          <w:rFonts w:ascii="Brush Script MT" w:hAnsi="Brush Script MT"/>
          <w:b/>
          <w:bCs/>
          <w:color w:val="800000"/>
          <w:lang w:val="da-DK"/>
        </w:rPr>
        <w:t>~~~~~~~~~~~~~~~~~~~~~~~~~~~~~~~~~~~~~~~~~~~~~~~~~~~~~~~~~~~~</w:t>
      </w:r>
    </w:p>
    <w:p w:rsidR="00C869F6" w:rsidRPr="001E277A" w:rsidRDefault="00EA6957" w:rsidP="001E277A"/>
    <w:sectPr w:rsidR="00C869F6" w:rsidRPr="001E277A" w:rsidSect="00EA6957">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E54"/>
    <w:multiLevelType w:val="hybridMultilevel"/>
    <w:tmpl w:val="4B685C38"/>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E9F1111"/>
    <w:multiLevelType w:val="multilevel"/>
    <w:tmpl w:val="CB04D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77A"/>
    <w:rsid w:val="001E277A"/>
    <w:rsid w:val="0084424E"/>
    <w:rsid w:val="00D823E6"/>
    <w:rsid w:val="00DC35EF"/>
    <w:rsid w:val="00DD5330"/>
    <w:rsid w:val="00E44FA8"/>
    <w:rsid w:val="00EA69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7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77A"/>
    <w:rPr>
      <w:color w:val="0000FF" w:themeColor="hyperlink"/>
      <w:u w:val="single"/>
    </w:rPr>
  </w:style>
  <w:style w:type="paragraph" w:styleId="Title">
    <w:name w:val="Title"/>
    <w:basedOn w:val="Normal"/>
    <w:link w:val="TitleChar"/>
    <w:uiPriority w:val="99"/>
    <w:qFormat/>
    <w:rsid w:val="001E277A"/>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1E277A"/>
    <w:rPr>
      <w:rFonts w:ascii="Arial" w:hAnsi="Arial" w:cs="Arial"/>
      <w:b/>
      <w:bCs/>
      <w:color w:val="003366"/>
      <w:sz w:val="24"/>
      <w:szCs w:val="24"/>
      <w:lang w:eastAsia="en-AU"/>
    </w:rPr>
  </w:style>
  <w:style w:type="paragraph" w:styleId="BodyTextIndent">
    <w:name w:val="Body Text Indent"/>
    <w:basedOn w:val="Normal"/>
    <w:link w:val="BodyTextIndentChar"/>
    <w:uiPriority w:val="99"/>
    <w:semiHidden/>
    <w:unhideWhenUsed/>
    <w:rsid w:val="001E277A"/>
    <w:pPr>
      <w:spacing w:after="120"/>
      <w:ind w:left="283"/>
    </w:pPr>
  </w:style>
  <w:style w:type="character" w:customStyle="1" w:styleId="BodyTextIndentChar">
    <w:name w:val="Body Text Indent Char"/>
    <w:basedOn w:val="DefaultParagraphFont"/>
    <w:link w:val="BodyTextIndent"/>
    <w:uiPriority w:val="99"/>
    <w:semiHidden/>
    <w:rsid w:val="001E277A"/>
    <w:rPr>
      <w:rFonts w:ascii="Calibri" w:hAnsi="Calibri" w:cs="Times New Roman"/>
      <w:lang w:eastAsia="en-AU"/>
    </w:rPr>
  </w:style>
  <w:style w:type="paragraph" w:styleId="PlainText">
    <w:name w:val="Plain Text"/>
    <w:basedOn w:val="Normal"/>
    <w:link w:val="PlainTextChar"/>
    <w:uiPriority w:val="99"/>
    <w:semiHidden/>
    <w:unhideWhenUsed/>
    <w:rsid w:val="001E277A"/>
  </w:style>
  <w:style w:type="character" w:customStyle="1" w:styleId="PlainTextChar">
    <w:name w:val="Plain Text Char"/>
    <w:basedOn w:val="DefaultParagraphFont"/>
    <w:link w:val="PlainText"/>
    <w:uiPriority w:val="99"/>
    <w:semiHidden/>
    <w:rsid w:val="001E277A"/>
    <w:rPr>
      <w:rFonts w:ascii="Calibri" w:hAnsi="Calibri" w:cs="Times New Roman"/>
      <w:lang w:eastAsia="en-AU"/>
    </w:rPr>
  </w:style>
  <w:style w:type="character" w:styleId="Strong">
    <w:name w:val="Strong"/>
    <w:basedOn w:val="DefaultParagraphFont"/>
    <w:uiPriority w:val="22"/>
    <w:qFormat/>
    <w:rsid w:val="001E277A"/>
    <w:rPr>
      <w:b/>
      <w:bCs/>
    </w:rPr>
  </w:style>
</w:styles>
</file>

<file path=word/webSettings.xml><?xml version="1.0" encoding="utf-8"?>
<w:webSettings xmlns:r="http://schemas.openxmlformats.org/officeDocument/2006/relationships" xmlns:w="http://schemas.openxmlformats.org/wordprocessingml/2006/main">
  <w:divs>
    <w:div w:id="1868105981">
      <w:bodyDiv w:val="1"/>
      <w:marLeft w:val="0"/>
      <w:marRight w:val="0"/>
      <w:marTop w:val="0"/>
      <w:marBottom w:val="0"/>
      <w:divBdr>
        <w:top w:val="none" w:sz="0" w:space="0" w:color="auto"/>
        <w:left w:val="none" w:sz="0" w:space="0" w:color="auto"/>
        <w:bottom w:val="none" w:sz="0" w:space="0" w:color="auto"/>
        <w:right w:val="none" w:sz="0" w:space="0" w:color="auto"/>
      </w:divBdr>
    </w:div>
    <w:div w:id="2103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ballmailer.com/link.php?M=173562&amp;N=3762&amp;L=3305&amp;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oballmailer.com/link.php?M=173562&amp;N=3762&amp;L=2202&amp;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ballmailer.com/link.php?M=173562&amp;N=3762&amp;L=3305&amp;F=H" TargetMode="External"/><Relationship Id="rId11" Type="http://schemas.openxmlformats.org/officeDocument/2006/relationships/hyperlink" Target="http://www.qldwater.com.au" TargetMode="External"/><Relationship Id="rId5" Type="http://schemas.openxmlformats.org/officeDocument/2006/relationships/hyperlink" Target="mailto:James.Fewings@ehp.qld.gov.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4838</Characters>
  <Application>Microsoft Office Word</Application>
  <DocSecurity>0</DocSecurity>
  <Lines>40</Lines>
  <Paragraphs>11</Paragraphs>
  <ScaleCrop>false</ScaleCrop>
  <Company>Toshiba</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2013-05-13T05:14:00Z</dcterms:created>
  <dcterms:modified xsi:type="dcterms:W3CDTF">2013-05-16T00:18:00Z</dcterms:modified>
</cp:coreProperties>
</file>